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EC2B" w14:textId="77777777" w:rsidR="00E83CF0" w:rsidRPr="0031405D" w:rsidRDefault="00E83CF0" w:rsidP="00E83CF0">
      <w:pPr>
        <w:pStyle w:val="Heading1"/>
        <w:spacing w:before="0" w:after="150" w:line="300" w:lineRule="exact"/>
        <w:jc w:val="center"/>
        <w:rPr>
          <w:rFonts w:ascii="Arial Rounded MT Bold" w:hAnsi="Arial Rounded MT Bold"/>
          <w:b w:val="0"/>
          <w:color w:val="auto"/>
        </w:rPr>
      </w:pPr>
      <w:r w:rsidRPr="0031405D">
        <w:rPr>
          <w:rFonts w:ascii="Arial Rounded MT Bold" w:hAnsi="Arial Rounded MT Bold"/>
          <w:b w:val="0"/>
          <w:color w:val="auto"/>
        </w:rPr>
        <w:t>Are You Eligible for Allied Health Medicare Rebates?</w:t>
      </w:r>
    </w:p>
    <w:p w14:paraId="318912B3" w14:textId="77777777" w:rsidR="00E83CF0" w:rsidRPr="0031405D" w:rsidRDefault="00E83CF0" w:rsidP="00E83CF0">
      <w:pPr>
        <w:spacing w:after="150" w:line="300" w:lineRule="exact"/>
        <w:jc w:val="center"/>
        <w:rPr>
          <w:rFonts w:ascii="Trebuchet MS" w:hAnsi="Trebuchet MS"/>
          <w:b/>
          <w:szCs w:val="20"/>
        </w:rPr>
      </w:pPr>
      <w:r w:rsidRPr="0031405D">
        <w:rPr>
          <w:rFonts w:ascii="Trebuchet MS" w:hAnsi="Trebuchet MS"/>
          <w:b/>
          <w:szCs w:val="20"/>
        </w:rPr>
        <w:t>Patient Information Sheet</w:t>
      </w:r>
    </w:p>
    <w:p w14:paraId="729F3823" w14:textId="77777777" w:rsidR="00E83CF0" w:rsidRPr="0031405D" w:rsidRDefault="00E83CF0" w:rsidP="00E83CF0">
      <w:pPr>
        <w:spacing w:after="150" w:line="300" w:lineRule="exact"/>
        <w:rPr>
          <w:rFonts w:ascii="Trebuchet MS" w:hAnsi="Trebuchet MS"/>
          <w:sz w:val="18"/>
          <w:szCs w:val="20"/>
        </w:rPr>
      </w:pPr>
      <w:r w:rsidRPr="0031405D">
        <w:rPr>
          <w:rFonts w:ascii="Trebuchet MS" w:hAnsi="Trebuchet MS"/>
          <w:sz w:val="18"/>
          <w:szCs w:val="20"/>
        </w:rPr>
        <w:t>You may have heard that some people can now obtain Medicare rebates for services such as physiotherapy and podiatry. Medicare has strict criteria on who can use these services and how often the services can be used.</w:t>
      </w:r>
    </w:p>
    <w:p w14:paraId="6139921F" w14:textId="77777777" w:rsidR="00E83CF0" w:rsidRPr="0031405D" w:rsidRDefault="00E83CF0" w:rsidP="00E83CF0">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Eligibility</w:t>
      </w:r>
    </w:p>
    <w:p w14:paraId="78A78F64" w14:textId="1B348155" w:rsidR="00E83CF0" w:rsidRPr="0031405D" w:rsidRDefault="00E83CF0" w:rsidP="00B62E55">
      <w:pPr>
        <w:spacing w:after="0" w:line="300" w:lineRule="exact"/>
        <w:rPr>
          <w:rFonts w:ascii="Trebuchet MS" w:hAnsi="Trebuchet MS"/>
          <w:sz w:val="18"/>
          <w:szCs w:val="20"/>
        </w:rPr>
      </w:pPr>
      <w:r w:rsidRPr="0031405D">
        <w:rPr>
          <w:rFonts w:ascii="Trebuchet MS" w:hAnsi="Trebuchet MS"/>
          <w:sz w:val="18"/>
          <w:szCs w:val="20"/>
        </w:rPr>
        <w:t xml:space="preserve">Allied health service rebates under Medicare are only available for people with a chronic </w:t>
      </w:r>
      <w:r w:rsidR="00AA04D6">
        <w:rPr>
          <w:rFonts w:ascii="Trebuchet MS" w:hAnsi="Trebuchet MS"/>
          <w:sz w:val="18"/>
          <w:szCs w:val="20"/>
        </w:rPr>
        <w:t xml:space="preserve">(long term) </w:t>
      </w:r>
      <w:r w:rsidRPr="0031405D">
        <w:rPr>
          <w:rFonts w:ascii="Trebuchet MS" w:hAnsi="Trebuchet MS"/>
          <w:sz w:val="18"/>
          <w:szCs w:val="20"/>
        </w:rPr>
        <w:t>medical condition and complex care needs.</w:t>
      </w:r>
    </w:p>
    <w:p w14:paraId="4F34F141" w14:textId="77777777" w:rsidR="00E83CF0" w:rsidRPr="0031405D" w:rsidRDefault="00E65AE4" w:rsidP="00E65AE4">
      <w:pPr>
        <w:pStyle w:val="ListParagraph"/>
        <w:numPr>
          <w:ilvl w:val="0"/>
          <w:numId w:val="4"/>
        </w:numPr>
        <w:spacing w:after="150" w:line="300" w:lineRule="exact"/>
        <w:rPr>
          <w:rFonts w:ascii="Trebuchet MS" w:hAnsi="Trebuchet MS"/>
          <w:sz w:val="18"/>
          <w:szCs w:val="20"/>
        </w:rPr>
      </w:pPr>
      <w:r w:rsidRPr="0031405D">
        <w:rPr>
          <w:rFonts w:ascii="Trebuchet MS" w:hAnsi="Trebuchet MS"/>
          <w:sz w:val="18"/>
          <w:szCs w:val="20"/>
        </w:rPr>
        <w:t xml:space="preserve">A chronic condition </w:t>
      </w:r>
      <w:r w:rsidR="00E83CF0" w:rsidRPr="0031405D">
        <w:rPr>
          <w:rFonts w:ascii="Trebuchet MS" w:hAnsi="Trebuchet MS"/>
          <w:sz w:val="18"/>
          <w:szCs w:val="20"/>
        </w:rPr>
        <w:t>has been, or is likely to be, present for at least six months.</w:t>
      </w:r>
    </w:p>
    <w:p w14:paraId="3D182341" w14:textId="77777777" w:rsidR="00E83CF0" w:rsidRPr="0031405D" w:rsidRDefault="00E83CF0" w:rsidP="00E65AE4">
      <w:pPr>
        <w:pStyle w:val="ListParagraph"/>
        <w:numPr>
          <w:ilvl w:val="0"/>
          <w:numId w:val="4"/>
        </w:numPr>
        <w:spacing w:after="150" w:line="300" w:lineRule="exact"/>
        <w:rPr>
          <w:rFonts w:ascii="Trebuchet MS" w:hAnsi="Trebuchet MS"/>
          <w:sz w:val="18"/>
          <w:szCs w:val="20"/>
        </w:rPr>
      </w:pPr>
      <w:r w:rsidRPr="0031405D">
        <w:rPr>
          <w:rFonts w:ascii="Trebuchet MS" w:hAnsi="Trebuchet MS"/>
          <w:sz w:val="18"/>
          <w:szCs w:val="20"/>
        </w:rPr>
        <w:t>A person has complex care needs if they require ongoing care from a team consisting of their doctor and at least two other health or care providers.</w:t>
      </w:r>
    </w:p>
    <w:p w14:paraId="620D49E1" w14:textId="77777777" w:rsidR="00E83CF0" w:rsidRPr="0031405D" w:rsidRDefault="00E83CF0" w:rsidP="00E65AE4">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Other requirements</w:t>
      </w:r>
    </w:p>
    <w:p w14:paraId="32D831B4" w14:textId="77777777" w:rsidR="00E83CF0" w:rsidRPr="0031405D" w:rsidRDefault="00E83CF0" w:rsidP="00B62E55">
      <w:pPr>
        <w:spacing w:after="0" w:line="300" w:lineRule="exact"/>
        <w:rPr>
          <w:rFonts w:ascii="Trebuchet MS" w:hAnsi="Trebuchet MS"/>
          <w:sz w:val="18"/>
          <w:szCs w:val="20"/>
        </w:rPr>
      </w:pPr>
      <w:r w:rsidRPr="0031405D">
        <w:rPr>
          <w:rFonts w:ascii="Trebuchet MS" w:hAnsi="Trebuchet MS"/>
          <w:sz w:val="18"/>
          <w:szCs w:val="20"/>
        </w:rPr>
        <w:t>A person can only be referred for the allied health rebates if they are being managed by their usual doctor and have:</w:t>
      </w:r>
    </w:p>
    <w:p w14:paraId="2AF78EA0" w14:textId="36BFB251" w:rsidR="00E83CF0" w:rsidRPr="0031405D" w:rsidRDefault="00E83CF0" w:rsidP="00E83CF0">
      <w:pPr>
        <w:pStyle w:val="ListParagraph"/>
        <w:numPr>
          <w:ilvl w:val="0"/>
          <w:numId w:val="3"/>
        </w:numPr>
        <w:spacing w:after="150" w:line="300" w:lineRule="exact"/>
        <w:ind w:left="426"/>
        <w:rPr>
          <w:rFonts w:ascii="Trebuchet MS" w:hAnsi="Trebuchet MS"/>
          <w:sz w:val="18"/>
          <w:szCs w:val="20"/>
        </w:rPr>
      </w:pPr>
      <w:r w:rsidRPr="0031405D">
        <w:rPr>
          <w:rFonts w:ascii="Trebuchet MS" w:hAnsi="Trebuchet MS"/>
          <w:sz w:val="18"/>
          <w:szCs w:val="20"/>
        </w:rPr>
        <w:t xml:space="preserve">A GP Management Plan (GPMP) </w:t>
      </w:r>
      <w:r w:rsidR="00E65AE4" w:rsidRPr="0031405D">
        <w:rPr>
          <w:rFonts w:ascii="Trebuchet MS" w:hAnsi="Trebuchet MS"/>
          <w:sz w:val="18"/>
          <w:szCs w:val="20"/>
        </w:rPr>
        <w:t xml:space="preserve">outlining </w:t>
      </w:r>
      <w:r w:rsidR="00C5699B">
        <w:rPr>
          <w:rFonts w:ascii="Trebuchet MS" w:hAnsi="Trebuchet MS"/>
          <w:sz w:val="18"/>
          <w:szCs w:val="20"/>
        </w:rPr>
        <w:t>the</w:t>
      </w:r>
      <w:r w:rsidR="00E65AE4" w:rsidRPr="0031405D">
        <w:rPr>
          <w:rFonts w:ascii="Trebuchet MS" w:hAnsi="Trebuchet MS"/>
          <w:sz w:val="18"/>
          <w:szCs w:val="20"/>
        </w:rPr>
        <w:t xml:space="preserve"> person’s </w:t>
      </w:r>
      <w:r w:rsidRPr="0031405D">
        <w:rPr>
          <w:rFonts w:ascii="Trebuchet MS" w:hAnsi="Trebuchet MS"/>
          <w:sz w:val="18"/>
          <w:szCs w:val="20"/>
        </w:rPr>
        <w:t xml:space="preserve">health care </w:t>
      </w:r>
      <w:r w:rsidR="00E65AE4" w:rsidRPr="0031405D">
        <w:rPr>
          <w:rFonts w:ascii="Trebuchet MS" w:hAnsi="Trebuchet MS"/>
          <w:sz w:val="18"/>
          <w:szCs w:val="20"/>
        </w:rPr>
        <w:t>ne</w:t>
      </w:r>
      <w:r w:rsidRPr="0031405D">
        <w:rPr>
          <w:rFonts w:ascii="Trebuchet MS" w:hAnsi="Trebuchet MS"/>
          <w:sz w:val="18"/>
          <w:szCs w:val="20"/>
        </w:rPr>
        <w:t>ed</w:t>
      </w:r>
      <w:r w:rsidR="00E65AE4" w:rsidRPr="0031405D">
        <w:rPr>
          <w:rFonts w:ascii="Trebuchet MS" w:hAnsi="Trebuchet MS"/>
          <w:sz w:val="18"/>
          <w:szCs w:val="20"/>
        </w:rPr>
        <w:t>s</w:t>
      </w:r>
      <w:r w:rsidRPr="0031405D">
        <w:rPr>
          <w:rFonts w:ascii="Trebuchet MS" w:hAnsi="Trebuchet MS"/>
          <w:sz w:val="18"/>
          <w:szCs w:val="20"/>
        </w:rPr>
        <w:br/>
      </w:r>
      <w:r w:rsidR="00E65AE4" w:rsidRPr="0031405D">
        <w:rPr>
          <w:rFonts w:ascii="Trebuchet MS" w:hAnsi="Trebuchet MS"/>
          <w:b/>
          <w:sz w:val="18"/>
          <w:szCs w:val="20"/>
        </w:rPr>
        <w:t>and</w:t>
      </w:r>
    </w:p>
    <w:p w14:paraId="7627477E" w14:textId="378A4961" w:rsidR="00E83CF0" w:rsidRPr="0031405D" w:rsidRDefault="00E83CF0" w:rsidP="00E83CF0">
      <w:pPr>
        <w:pStyle w:val="ListParagraph"/>
        <w:numPr>
          <w:ilvl w:val="0"/>
          <w:numId w:val="3"/>
        </w:numPr>
        <w:spacing w:after="150" w:line="300" w:lineRule="exact"/>
        <w:ind w:left="426"/>
        <w:rPr>
          <w:rFonts w:ascii="Trebuchet MS" w:hAnsi="Trebuchet MS"/>
          <w:sz w:val="18"/>
          <w:szCs w:val="20"/>
        </w:rPr>
      </w:pPr>
      <w:r w:rsidRPr="0031405D">
        <w:rPr>
          <w:rFonts w:ascii="Trebuchet MS" w:hAnsi="Trebuchet MS"/>
          <w:sz w:val="18"/>
          <w:szCs w:val="20"/>
        </w:rPr>
        <w:t xml:space="preserve">A Team Care Arrangements (TCA) </w:t>
      </w:r>
      <w:r w:rsidR="00C5699B">
        <w:rPr>
          <w:rFonts w:ascii="Trebuchet MS" w:hAnsi="Trebuchet MS"/>
          <w:sz w:val="18"/>
          <w:szCs w:val="20"/>
        </w:rPr>
        <w:t xml:space="preserve">document </w:t>
      </w:r>
      <w:r w:rsidRPr="0031405D">
        <w:rPr>
          <w:rFonts w:ascii="Trebuchet MS" w:hAnsi="Trebuchet MS"/>
          <w:sz w:val="18"/>
          <w:szCs w:val="20"/>
        </w:rPr>
        <w:t>developed by the doctor with the patient and at least two other care providers involved in ongoing care of the patient.</w:t>
      </w:r>
    </w:p>
    <w:p w14:paraId="5BEEB5E4" w14:textId="77777777" w:rsidR="00E83CF0" w:rsidRPr="0031405D" w:rsidRDefault="00E83CF0" w:rsidP="00E83CF0">
      <w:pPr>
        <w:spacing w:after="150" w:line="300" w:lineRule="exact"/>
        <w:rPr>
          <w:rFonts w:ascii="Trebuchet MS" w:hAnsi="Trebuchet MS"/>
          <w:sz w:val="18"/>
          <w:szCs w:val="20"/>
        </w:rPr>
      </w:pPr>
      <w:r w:rsidRPr="0031405D">
        <w:rPr>
          <w:rFonts w:ascii="Trebuchet MS" w:hAnsi="Trebuchet MS"/>
          <w:sz w:val="18"/>
          <w:szCs w:val="20"/>
        </w:rPr>
        <w:t>The doctor must see the patient to complete both a GPMP and a TCA before the patient can claim the Medicare rebate for the allied health services.</w:t>
      </w:r>
    </w:p>
    <w:p w14:paraId="6FC4D540" w14:textId="77777777" w:rsidR="00E83CF0" w:rsidRPr="0031405D" w:rsidRDefault="00E83CF0" w:rsidP="00E83CF0">
      <w:pPr>
        <w:spacing w:after="150" w:line="300" w:lineRule="exact"/>
        <w:rPr>
          <w:rFonts w:ascii="Trebuchet MS" w:hAnsi="Trebuchet MS"/>
          <w:sz w:val="18"/>
          <w:szCs w:val="20"/>
        </w:rPr>
      </w:pPr>
      <w:r w:rsidRPr="0031405D">
        <w:rPr>
          <w:rFonts w:ascii="Trebuchet MS" w:hAnsi="Trebuchet MS"/>
          <w:sz w:val="18"/>
          <w:szCs w:val="20"/>
        </w:rPr>
        <w:t>Preparing a GPMP and a TCA takes time and involves the GP working with the patient and other providers.</w:t>
      </w:r>
      <w:r w:rsidR="00E65AE4" w:rsidRPr="0031405D">
        <w:rPr>
          <w:rFonts w:ascii="Trebuchet MS" w:hAnsi="Trebuchet MS"/>
          <w:sz w:val="18"/>
          <w:szCs w:val="20"/>
        </w:rPr>
        <w:t xml:space="preserve"> D</w:t>
      </w:r>
      <w:r w:rsidRPr="0031405D">
        <w:rPr>
          <w:rFonts w:ascii="Trebuchet MS" w:hAnsi="Trebuchet MS"/>
          <w:sz w:val="18"/>
          <w:szCs w:val="20"/>
        </w:rPr>
        <w:t>octors manage chronic</w:t>
      </w:r>
      <w:r w:rsidR="00E65AE4" w:rsidRPr="0031405D">
        <w:rPr>
          <w:rFonts w:ascii="Trebuchet MS" w:hAnsi="Trebuchet MS"/>
          <w:sz w:val="18"/>
          <w:szCs w:val="20"/>
        </w:rPr>
        <w:t xml:space="preserve"> illness in a variety of ways and n</w:t>
      </w:r>
      <w:r w:rsidRPr="0031405D">
        <w:rPr>
          <w:rFonts w:ascii="Trebuchet MS" w:hAnsi="Trebuchet MS"/>
          <w:sz w:val="18"/>
          <w:szCs w:val="20"/>
        </w:rPr>
        <w:t>ot all doctors choose to use GP Management Plans and Team Care Arrangements.</w:t>
      </w:r>
    </w:p>
    <w:p w14:paraId="6D35E7E4" w14:textId="77777777" w:rsidR="00E83CF0" w:rsidRPr="0031405D" w:rsidRDefault="00E65AE4" w:rsidP="00E65AE4">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E</w:t>
      </w:r>
      <w:r w:rsidR="00E83CF0" w:rsidRPr="0031405D">
        <w:rPr>
          <w:rFonts w:ascii="Arial Rounded MT Bold" w:hAnsi="Arial Rounded MT Bold"/>
          <w:b w:val="0"/>
          <w:color w:val="auto"/>
          <w:sz w:val="22"/>
          <w:szCs w:val="20"/>
        </w:rPr>
        <w:t>ligible</w:t>
      </w:r>
      <w:r w:rsidRPr="0031405D">
        <w:rPr>
          <w:rFonts w:ascii="Arial Rounded MT Bold" w:hAnsi="Arial Rounded MT Bold"/>
          <w:b w:val="0"/>
          <w:color w:val="auto"/>
          <w:sz w:val="22"/>
          <w:szCs w:val="20"/>
        </w:rPr>
        <w:t xml:space="preserve"> services</w:t>
      </w:r>
    </w:p>
    <w:p w14:paraId="480E088B" w14:textId="3E80B37A" w:rsidR="00E83CF0" w:rsidRPr="0031405D" w:rsidRDefault="00E83CF0" w:rsidP="00B62E55">
      <w:pPr>
        <w:spacing w:after="0" w:line="300" w:lineRule="exact"/>
        <w:rPr>
          <w:rFonts w:ascii="Trebuchet MS" w:hAnsi="Trebuchet MS"/>
          <w:sz w:val="18"/>
          <w:szCs w:val="20"/>
        </w:rPr>
      </w:pPr>
      <w:r w:rsidRPr="0031405D">
        <w:rPr>
          <w:rFonts w:ascii="Trebuchet MS" w:hAnsi="Trebuchet MS"/>
          <w:sz w:val="18"/>
          <w:szCs w:val="20"/>
        </w:rPr>
        <w:t xml:space="preserve">GPs can refer eligible patients to certain Medicare-registered private allied health services. </w:t>
      </w:r>
      <w:r w:rsidR="00C5699B">
        <w:rPr>
          <w:rFonts w:ascii="Trebuchet MS" w:hAnsi="Trebuchet MS"/>
          <w:sz w:val="18"/>
          <w:szCs w:val="20"/>
        </w:rPr>
        <w:t>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2840"/>
        <w:gridCol w:w="2055"/>
      </w:tblGrid>
      <w:tr w:rsidR="00B62E55" w:rsidRPr="0031405D" w14:paraId="6D582ED4" w14:textId="77777777">
        <w:tc>
          <w:tcPr>
            <w:tcW w:w="2841" w:type="dxa"/>
          </w:tcPr>
          <w:p w14:paraId="5D6A99EE" w14:textId="77777777" w:rsidR="00B62E55" w:rsidRPr="0031405D" w:rsidRDefault="00B62E55" w:rsidP="00E65AE4">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Aboriginal health workers </w:t>
            </w:r>
          </w:p>
          <w:p w14:paraId="5DA02CB4" w14:textId="77777777" w:rsidR="00B62E55" w:rsidRPr="0031405D" w:rsidRDefault="00B62E55" w:rsidP="00E65AE4">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Audiologists</w:t>
            </w:r>
          </w:p>
          <w:p w14:paraId="64DFEF26" w14:textId="77777777" w:rsidR="00B62E55" w:rsidRPr="0031405D" w:rsidRDefault="00B62E55" w:rsidP="00E65AE4">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Chiropractors </w:t>
            </w:r>
          </w:p>
          <w:p w14:paraId="7DE66502" w14:textId="77777777" w:rsidR="00B62E55" w:rsidRPr="0031405D" w:rsidRDefault="00B62E55" w:rsidP="00E65AE4">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Chiropodists </w:t>
            </w:r>
          </w:p>
          <w:p w14:paraId="0ABE06A0"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Diabetes educators</w:t>
            </w:r>
          </w:p>
          <w:p w14:paraId="3710D635"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Exercise physiologists </w:t>
            </w:r>
          </w:p>
        </w:tc>
        <w:tc>
          <w:tcPr>
            <w:tcW w:w="2949" w:type="dxa"/>
          </w:tcPr>
          <w:p w14:paraId="1BF67DEE" w14:textId="77777777" w:rsidR="00B62E55" w:rsidRPr="0031405D" w:rsidRDefault="00D24393"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Dieticians</w:t>
            </w:r>
            <w:r w:rsidR="00B62E55" w:rsidRPr="0031405D">
              <w:rPr>
                <w:rFonts w:ascii="Trebuchet MS" w:hAnsi="Trebuchet MS"/>
                <w:sz w:val="18"/>
                <w:szCs w:val="20"/>
              </w:rPr>
              <w:t xml:space="preserve"> </w:t>
            </w:r>
          </w:p>
          <w:p w14:paraId="5A49E2A9"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Mental health workers (including some social workers) Occupational therapists </w:t>
            </w:r>
          </w:p>
          <w:p w14:paraId="5F894702"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Osteopaths </w:t>
            </w:r>
          </w:p>
        </w:tc>
        <w:tc>
          <w:tcPr>
            <w:tcW w:w="2065" w:type="dxa"/>
          </w:tcPr>
          <w:p w14:paraId="3075FADC"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Physiotherapists </w:t>
            </w:r>
          </w:p>
          <w:p w14:paraId="39258950"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Podiatrists </w:t>
            </w:r>
          </w:p>
          <w:p w14:paraId="70118F29"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 xml:space="preserve">Psychologists </w:t>
            </w:r>
          </w:p>
          <w:p w14:paraId="6CAE1493" w14:textId="77777777" w:rsidR="00B62E55" w:rsidRPr="0031405D" w:rsidRDefault="00B62E55" w:rsidP="00B62E55">
            <w:pPr>
              <w:pStyle w:val="ListParagraph"/>
              <w:numPr>
                <w:ilvl w:val="0"/>
                <w:numId w:val="2"/>
              </w:numPr>
              <w:spacing w:after="150" w:line="300" w:lineRule="exact"/>
              <w:ind w:left="426"/>
              <w:rPr>
                <w:rFonts w:ascii="Trebuchet MS" w:hAnsi="Trebuchet MS"/>
                <w:sz w:val="18"/>
                <w:szCs w:val="20"/>
              </w:rPr>
            </w:pPr>
            <w:r w:rsidRPr="0031405D">
              <w:rPr>
                <w:rFonts w:ascii="Trebuchet MS" w:hAnsi="Trebuchet MS"/>
                <w:sz w:val="18"/>
                <w:szCs w:val="20"/>
              </w:rPr>
              <w:t>Speech pathologists.</w:t>
            </w:r>
          </w:p>
        </w:tc>
      </w:tr>
    </w:tbl>
    <w:p w14:paraId="6B097CB7" w14:textId="77777777" w:rsidR="00E83CF0" w:rsidRPr="0031405D" w:rsidRDefault="00E83CF0" w:rsidP="00E65AE4">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How many services?</w:t>
      </w:r>
    </w:p>
    <w:p w14:paraId="66026281" w14:textId="77777777" w:rsidR="00E83CF0" w:rsidRPr="0031405D" w:rsidRDefault="00E83CF0" w:rsidP="00E83CF0">
      <w:pPr>
        <w:spacing w:after="150" w:line="300" w:lineRule="exact"/>
        <w:rPr>
          <w:rFonts w:ascii="Trebuchet MS" w:hAnsi="Trebuchet MS"/>
          <w:sz w:val="18"/>
          <w:szCs w:val="20"/>
        </w:rPr>
      </w:pPr>
      <w:r w:rsidRPr="0031405D">
        <w:rPr>
          <w:rFonts w:ascii="Trebuchet MS" w:hAnsi="Trebuchet MS"/>
          <w:sz w:val="18"/>
          <w:szCs w:val="20"/>
        </w:rPr>
        <w:t>People who meet the eligibility requirements can have a maximum of five allied health service rebates per calendar year (</w:t>
      </w:r>
      <w:r w:rsidR="00E65AE4" w:rsidRPr="0031405D">
        <w:rPr>
          <w:rFonts w:ascii="Trebuchet MS" w:hAnsi="Trebuchet MS"/>
          <w:sz w:val="18"/>
          <w:szCs w:val="20"/>
        </w:rPr>
        <w:t>January–</w:t>
      </w:r>
      <w:r w:rsidRPr="0031405D">
        <w:rPr>
          <w:rFonts w:ascii="Trebuchet MS" w:hAnsi="Trebuchet MS"/>
          <w:sz w:val="18"/>
          <w:szCs w:val="20"/>
        </w:rPr>
        <w:t>December).</w:t>
      </w:r>
    </w:p>
    <w:p w14:paraId="0489C99B" w14:textId="77777777" w:rsidR="00E83CF0" w:rsidRPr="0031405D" w:rsidRDefault="00E83CF0" w:rsidP="00E83CF0">
      <w:pPr>
        <w:spacing w:after="150" w:line="300" w:lineRule="exact"/>
        <w:rPr>
          <w:rFonts w:ascii="Trebuchet MS" w:hAnsi="Trebuchet MS"/>
          <w:sz w:val="18"/>
          <w:szCs w:val="20"/>
        </w:rPr>
      </w:pPr>
      <w:r w:rsidRPr="0031405D">
        <w:rPr>
          <w:rFonts w:ascii="Trebuchet MS" w:hAnsi="Trebuchet MS"/>
          <w:sz w:val="18"/>
          <w:szCs w:val="20"/>
        </w:rPr>
        <w:t>More than one allied health service may be used, but the total number of services from all providers cannot exceed five per calendar year, for example, three podiatry visits plus two physiotherapy visits.</w:t>
      </w:r>
    </w:p>
    <w:p w14:paraId="3507F183" w14:textId="77777777" w:rsidR="003E1625" w:rsidRPr="0031405D" w:rsidRDefault="003E1625" w:rsidP="00E65AE4">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 xml:space="preserve">How much will it cost? </w:t>
      </w:r>
    </w:p>
    <w:p w14:paraId="0CC8FCE5" w14:textId="336E7F52" w:rsidR="003E1625" w:rsidRPr="0031405D" w:rsidRDefault="003E1625" w:rsidP="00E83CF0">
      <w:pPr>
        <w:spacing w:after="150" w:line="300" w:lineRule="exact"/>
        <w:rPr>
          <w:rFonts w:ascii="Trebuchet MS" w:hAnsi="Trebuchet MS"/>
          <w:sz w:val="18"/>
          <w:szCs w:val="20"/>
        </w:rPr>
      </w:pPr>
      <w:r w:rsidRPr="0031405D">
        <w:rPr>
          <w:rFonts w:ascii="Trebuchet MS" w:hAnsi="Trebuchet MS"/>
          <w:sz w:val="18"/>
          <w:szCs w:val="20"/>
        </w:rPr>
        <w:t>Allied health professionals may set their own fees. The Medicare rebate is $5</w:t>
      </w:r>
      <w:r w:rsidR="00C5699B">
        <w:rPr>
          <w:rFonts w:ascii="Trebuchet MS" w:hAnsi="Trebuchet MS"/>
          <w:sz w:val="18"/>
          <w:szCs w:val="20"/>
        </w:rPr>
        <w:t>6</w:t>
      </w:r>
      <w:r w:rsidRPr="0031405D">
        <w:rPr>
          <w:rFonts w:ascii="Trebuchet MS" w:hAnsi="Trebuchet MS"/>
          <w:sz w:val="18"/>
          <w:szCs w:val="20"/>
        </w:rPr>
        <w:t xml:space="preserve"> (</w:t>
      </w:r>
      <w:r w:rsidR="00C5699B">
        <w:rPr>
          <w:rFonts w:ascii="Trebuchet MS" w:hAnsi="Trebuchet MS"/>
          <w:sz w:val="18"/>
          <w:szCs w:val="20"/>
        </w:rPr>
        <w:t>June</w:t>
      </w:r>
      <w:r w:rsidRPr="0031405D">
        <w:rPr>
          <w:rFonts w:ascii="Trebuchet MS" w:hAnsi="Trebuchet MS"/>
          <w:sz w:val="18"/>
          <w:szCs w:val="20"/>
        </w:rPr>
        <w:t xml:space="preserve"> 20</w:t>
      </w:r>
      <w:r w:rsidR="00C5699B">
        <w:rPr>
          <w:rFonts w:ascii="Trebuchet MS" w:hAnsi="Trebuchet MS"/>
          <w:sz w:val="18"/>
          <w:szCs w:val="20"/>
        </w:rPr>
        <w:t>2</w:t>
      </w:r>
      <w:r w:rsidRPr="0031405D">
        <w:rPr>
          <w:rFonts w:ascii="Trebuchet MS" w:hAnsi="Trebuchet MS"/>
          <w:sz w:val="18"/>
          <w:szCs w:val="20"/>
        </w:rPr>
        <w:t>3). When the fee charged is greater than the Medicare rebate</w:t>
      </w:r>
      <w:r w:rsidR="00B62E55" w:rsidRPr="0031405D">
        <w:rPr>
          <w:rFonts w:ascii="Trebuchet MS" w:hAnsi="Trebuchet MS"/>
          <w:sz w:val="18"/>
          <w:szCs w:val="20"/>
        </w:rPr>
        <w:t>,</w:t>
      </w:r>
      <w:r w:rsidRPr="0031405D">
        <w:rPr>
          <w:rFonts w:ascii="Trebuchet MS" w:hAnsi="Trebuchet MS"/>
          <w:sz w:val="18"/>
          <w:szCs w:val="20"/>
        </w:rPr>
        <w:t xml:space="preserve"> the patient is responsible for paying the difference. However, such out-of-pocket costs will count towards the Medicare safety net. </w:t>
      </w:r>
    </w:p>
    <w:p w14:paraId="159A898D" w14:textId="77777777" w:rsidR="003E1625" w:rsidRPr="0031405D" w:rsidRDefault="003E1625" w:rsidP="00E83CF0">
      <w:pPr>
        <w:spacing w:after="150" w:line="300" w:lineRule="exact"/>
        <w:rPr>
          <w:rFonts w:ascii="Trebuchet MS" w:hAnsi="Trebuchet MS"/>
          <w:sz w:val="18"/>
          <w:szCs w:val="20"/>
        </w:rPr>
      </w:pPr>
      <w:r w:rsidRPr="0031405D">
        <w:rPr>
          <w:rFonts w:ascii="Trebuchet MS" w:hAnsi="Trebuchet MS"/>
          <w:sz w:val="18"/>
          <w:szCs w:val="20"/>
        </w:rPr>
        <w:t xml:space="preserve">Patients with private health insurance need to decide if they will use Medicare or their health insurance to pay for these services. Patients cannot use private health insurance cover to ‘top up’ the Medicare rebate for these services. </w:t>
      </w:r>
    </w:p>
    <w:p w14:paraId="649BAE14" w14:textId="77777777" w:rsidR="00B62E55" w:rsidRPr="0031405D" w:rsidRDefault="00B62E55" w:rsidP="00B62E55">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 xml:space="preserve">What type of service? </w:t>
      </w:r>
    </w:p>
    <w:p w14:paraId="43721686" w14:textId="77777777" w:rsidR="00B62E55" w:rsidRPr="0031405D" w:rsidRDefault="00B62E55" w:rsidP="00B62E55">
      <w:pPr>
        <w:spacing w:after="150" w:line="300" w:lineRule="exact"/>
        <w:rPr>
          <w:rFonts w:ascii="Trebuchet MS" w:hAnsi="Trebuchet MS"/>
          <w:sz w:val="18"/>
          <w:szCs w:val="20"/>
        </w:rPr>
      </w:pPr>
      <w:r w:rsidRPr="0031405D">
        <w:rPr>
          <w:rFonts w:ascii="Trebuchet MS" w:hAnsi="Trebuchet MS"/>
          <w:sz w:val="18"/>
          <w:szCs w:val="20"/>
        </w:rPr>
        <w:t>Services provided under the allied health Medicare items must be of at least 20 minutes duration and provided to an individual, not as part of a group. The only exception is patients with Type 2 Diabetes, who are also eligible for group sessions under this initiative.</w:t>
      </w:r>
    </w:p>
    <w:p w14:paraId="0AD6E3AE" w14:textId="77777777" w:rsidR="00B62E55" w:rsidRPr="0031405D" w:rsidRDefault="00B62E55" w:rsidP="00E83CF0">
      <w:pPr>
        <w:spacing w:after="150" w:line="300" w:lineRule="exact"/>
        <w:rPr>
          <w:rFonts w:ascii="Trebuchet MS" w:hAnsi="Trebuchet MS"/>
          <w:sz w:val="18"/>
          <w:szCs w:val="20"/>
        </w:rPr>
      </w:pPr>
      <w:r w:rsidRPr="0031405D">
        <w:rPr>
          <w:rFonts w:ascii="Trebuchet MS" w:hAnsi="Trebuchet MS"/>
          <w:sz w:val="18"/>
          <w:szCs w:val="20"/>
        </w:rPr>
        <w:t>The allied health provider must send a written report on the service to the patient’s GP.</w:t>
      </w:r>
    </w:p>
    <w:p w14:paraId="70E94B3F" w14:textId="77777777" w:rsidR="008C027E" w:rsidRPr="0031405D" w:rsidRDefault="008C027E" w:rsidP="00B62E55">
      <w:pPr>
        <w:pStyle w:val="Heading2"/>
        <w:spacing w:before="0" w:line="300" w:lineRule="exact"/>
        <w:rPr>
          <w:rFonts w:ascii="Arial Rounded MT Bold" w:hAnsi="Arial Rounded MT Bold"/>
          <w:b w:val="0"/>
          <w:color w:val="auto"/>
          <w:sz w:val="22"/>
          <w:szCs w:val="20"/>
        </w:rPr>
      </w:pPr>
      <w:r w:rsidRPr="0031405D">
        <w:rPr>
          <w:rFonts w:ascii="Arial Rounded MT Bold" w:hAnsi="Arial Rounded MT Bold"/>
          <w:b w:val="0"/>
          <w:color w:val="auto"/>
          <w:sz w:val="22"/>
          <w:szCs w:val="20"/>
        </w:rPr>
        <w:t>Practice details:</w:t>
      </w:r>
    </w:p>
    <w:p w14:paraId="40F8A334" w14:textId="77777777" w:rsidR="008C027E" w:rsidRPr="0031405D" w:rsidRDefault="008C027E" w:rsidP="00E83CF0">
      <w:pPr>
        <w:spacing w:after="150" w:line="300" w:lineRule="exact"/>
        <w:jc w:val="center"/>
        <w:rPr>
          <w:rFonts w:ascii="Trebuchet MS" w:hAnsi="Trebuchet MS"/>
          <w:sz w:val="18"/>
          <w:szCs w:val="20"/>
        </w:rPr>
      </w:pPr>
    </w:p>
    <w:p w14:paraId="1D99CA59" w14:textId="77777777" w:rsidR="008C027E" w:rsidRPr="0031405D" w:rsidRDefault="008C027E" w:rsidP="00E83CF0">
      <w:pPr>
        <w:spacing w:after="150" w:line="300" w:lineRule="exact"/>
        <w:jc w:val="center"/>
        <w:rPr>
          <w:rFonts w:ascii="Trebuchet MS" w:hAnsi="Trebuchet MS"/>
          <w:sz w:val="18"/>
          <w:szCs w:val="20"/>
        </w:rPr>
      </w:pPr>
    </w:p>
    <w:p w14:paraId="2FF4849C" w14:textId="77777777" w:rsidR="00B62E55" w:rsidRPr="0031405D" w:rsidRDefault="00B62E55" w:rsidP="00E83CF0">
      <w:pPr>
        <w:spacing w:after="150" w:line="300" w:lineRule="exact"/>
        <w:jc w:val="center"/>
        <w:rPr>
          <w:rFonts w:ascii="Trebuchet MS" w:hAnsi="Trebuchet MS"/>
          <w:sz w:val="18"/>
          <w:szCs w:val="20"/>
        </w:rPr>
      </w:pPr>
    </w:p>
    <w:p w14:paraId="52902B10" w14:textId="77777777" w:rsidR="008C027E" w:rsidRPr="0031405D" w:rsidRDefault="008C027E" w:rsidP="00E83CF0">
      <w:pPr>
        <w:spacing w:after="150" w:line="300" w:lineRule="exact"/>
        <w:jc w:val="center"/>
        <w:rPr>
          <w:rFonts w:ascii="Trebuchet MS" w:hAnsi="Trebuchet MS"/>
          <w:sz w:val="18"/>
          <w:szCs w:val="20"/>
        </w:rPr>
      </w:pPr>
    </w:p>
    <w:p w14:paraId="7FD0EF35" w14:textId="4CB4C585" w:rsidR="008C027E" w:rsidRPr="0031405D" w:rsidRDefault="00B62E55" w:rsidP="00E83CF0">
      <w:pPr>
        <w:spacing w:after="150" w:line="300" w:lineRule="exact"/>
        <w:jc w:val="center"/>
        <w:rPr>
          <w:rFonts w:ascii="Trebuchet MS" w:hAnsi="Trebuchet MS"/>
          <w:sz w:val="18"/>
          <w:szCs w:val="20"/>
        </w:rPr>
      </w:pPr>
      <w:r w:rsidRPr="0031405D">
        <w:rPr>
          <w:rFonts w:ascii="Trebuchet MS" w:hAnsi="Trebuchet MS"/>
          <w:sz w:val="18"/>
          <w:szCs w:val="20"/>
        </w:rPr>
        <w:t>If you have any questions,</w:t>
      </w:r>
      <w:r w:rsidR="008C027E" w:rsidRPr="0031405D">
        <w:rPr>
          <w:rFonts w:ascii="Trebuchet MS" w:hAnsi="Trebuchet MS"/>
          <w:sz w:val="18"/>
          <w:szCs w:val="20"/>
        </w:rPr>
        <w:t xml:space="preserve"> speak with your </w:t>
      </w:r>
      <w:proofErr w:type="gramStart"/>
      <w:r w:rsidR="008C027E" w:rsidRPr="0031405D">
        <w:rPr>
          <w:rFonts w:ascii="Trebuchet MS" w:hAnsi="Trebuchet MS"/>
          <w:sz w:val="18"/>
          <w:szCs w:val="20"/>
        </w:rPr>
        <w:t>GP</w:t>
      </w:r>
      <w:proofErr w:type="gramEnd"/>
      <w:r w:rsidRPr="0031405D">
        <w:rPr>
          <w:rFonts w:ascii="Trebuchet MS" w:hAnsi="Trebuchet MS"/>
          <w:sz w:val="18"/>
          <w:szCs w:val="20"/>
        </w:rPr>
        <w:t xml:space="preserve"> </w:t>
      </w:r>
      <w:r w:rsidRPr="0031405D">
        <w:rPr>
          <w:rFonts w:ascii="Trebuchet MS" w:hAnsi="Trebuchet MS"/>
          <w:b/>
          <w:sz w:val="18"/>
          <w:szCs w:val="20"/>
        </w:rPr>
        <w:t xml:space="preserve">or </w:t>
      </w:r>
      <w:r w:rsidRPr="0031405D">
        <w:rPr>
          <w:rFonts w:ascii="Trebuchet MS" w:hAnsi="Trebuchet MS"/>
          <w:sz w:val="18"/>
          <w:szCs w:val="20"/>
        </w:rPr>
        <w:t>call the</w:t>
      </w:r>
      <w:r w:rsidR="008C027E" w:rsidRPr="0031405D">
        <w:rPr>
          <w:rFonts w:ascii="Trebuchet MS" w:hAnsi="Trebuchet MS"/>
          <w:sz w:val="18"/>
          <w:szCs w:val="20"/>
        </w:rPr>
        <w:t xml:space="preserve"> Medicare Australia</w:t>
      </w:r>
      <w:r w:rsidRPr="0031405D">
        <w:rPr>
          <w:rFonts w:ascii="Trebuchet MS" w:hAnsi="Trebuchet MS"/>
          <w:sz w:val="18"/>
          <w:szCs w:val="20"/>
        </w:rPr>
        <w:t xml:space="preserve"> </w:t>
      </w:r>
      <w:r w:rsidR="008C027E" w:rsidRPr="0031405D">
        <w:rPr>
          <w:rFonts w:ascii="Trebuchet MS" w:hAnsi="Trebuchet MS"/>
          <w:sz w:val="18"/>
          <w:szCs w:val="20"/>
        </w:rPr>
        <w:t xml:space="preserve">Patient Enquiry Line </w:t>
      </w:r>
      <w:r w:rsidR="008C027E" w:rsidRPr="0031405D">
        <w:rPr>
          <w:rFonts w:ascii="Trebuchet MS" w:hAnsi="Trebuchet MS"/>
          <w:b/>
          <w:sz w:val="20"/>
          <w:szCs w:val="20"/>
        </w:rPr>
        <w:t>132 011</w:t>
      </w:r>
      <w:r w:rsidR="008C027E" w:rsidRPr="0031405D">
        <w:rPr>
          <w:rFonts w:ascii="Trebuchet MS" w:hAnsi="Trebuchet MS"/>
          <w:sz w:val="18"/>
          <w:szCs w:val="20"/>
        </w:rPr>
        <w:t>.</w:t>
      </w:r>
    </w:p>
    <w:p w14:paraId="0D75C1C3" w14:textId="77777777" w:rsidR="00E83CF0" w:rsidRPr="0031405D" w:rsidRDefault="00E83CF0" w:rsidP="00E83CF0">
      <w:pPr>
        <w:spacing w:after="150" w:line="300" w:lineRule="exact"/>
        <w:rPr>
          <w:rFonts w:ascii="Trebuchet MS" w:hAnsi="Trebuchet MS"/>
          <w:sz w:val="18"/>
          <w:szCs w:val="20"/>
        </w:rPr>
      </w:pPr>
    </w:p>
    <w:sectPr w:rsidR="00E83CF0" w:rsidRPr="0031405D" w:rsidSect="00B62E55">
      <w:type w:val="continuous"/>
      <w:pgSz w:w="16838" w:h="11906" w:orient="landscape" w:code="9"/>
      <w:pgMar w:top="567" w:right="567" w:bottom="567" w:left="567" w:header="709" w:footer="709" w:gutter="0"/>
      <w:cols w:num="2"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Rounded MT Bold">
    <w:panose1 w:val="020F0704030504030204"/>
    <w:charset w:val="4D"/>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9AD"/>
    <w:multiLevelType w:val="hybridMultilevel"/>
    <w:tmpl w:val="DD967A1E"/>
    <w:lvl w:ilvl="0" w:tplc="4DAE92CC">
      <w:start w:val="1"/>
      <w:numFmt w:val="bullet"/>
      <w:lvlText w:val="l"/>
      <w:lvlJc w:val="left"/>
      <w:pPr>
        <w:ind w:left="720" w:hanging="360"/>
      </w:pPr>
      <w:rPr>
        <w:rFonts w:ascii="Wingdings" w:hAnsi="Wingdings" w:hint="default"/>
        <w:color w:val="00AEEF"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097B98"/>
    <w:multiLevelType w:val="hybridMultilevel"/>
    <w:tmpl w:val="B2805824"/>
    <w:lvl w:ilvl="0" w:tplc="690E9CEE">
      <w:start w:val="1"/>
      <w:numFmt w:val="bullet"/>
      <w:lvlText w:val=""/>
      <w:lvlJc w:val="left"/>
      <w:pPr>
        <w:ind w:left="360" w:hanging="360"/>
      </w:pPr>
      <w:rPr>
        <w:rFonts w:ascii="Wingdings" w:hAnsi="Wingdings" w:hint="default"/>
        <w:color w:val="00AEEF"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E6C0A"/>
    <w:multiLevelType w:val="hybridMultilevel"/>
    <w:tmpl w:val="2072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D0A38"/>
    <w:multiLevelType w:val="hybridMultilevel"/>
    <w:tmpl w:val="C96E1B06"/>
    <w:lvl w:ilvl="0" w:tplc="690E9CEE">
      <w:start w:val="1"/>
      <w:numFmt w:val="bullet"/>
      <w:lvlText w:val=""/>
      <w:lvlJc w:val="left"/>
      <w:pPr>
        <w:ind w:left="360" w:hanging="360"/>
      </w:pPr>
      <w:rPr>
        <w:rFonts w:ascii="Wingdings" w:hAnsi="Wingdings" w:hint="default"/>
        <w:color w:val="00AEEF"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30019016">
    <w:abstractNumId w:val="2"/>
  </w:num>
  <w:num w:numId="2" w16cid:durableId="2076736497">
    <w:abstractNumId w:val="0"/>
  </w:num>
  <w:num w:numId="3" w16cid:durableId="1940068259">
    <w:abstractNumId w:val="3"/>
  </w:num>
  <w:num w:numId="4" w16cid:durableId="1971544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3D"/>
    <w:rsid w:val="0001407A"/>
    <w:rsid w:val="000E153D"/>
    <w:rsid w:val="000E720C"/>
    <w:rsid w:val="002F03C6"/>
    <w:rsid w:val="0031405D"/>
    <w:rsid w:val="003319D2"/>
    <w:rsid w:val="003E1625"/>
    <w:rsid w:val="006D1953"/>
    <w:rsid w:val="007F2E7D"/>
    <w:rsid w:val="008C027E"/>
    <w:rsid w:val="008D41D7"/>
    <w:rsid w:val="00AA04D6"/>
    <w:rsid w:val="00B62E55"/>
    <w:rsid w:val="00B6367A"/>
    <w:rsid w:val="00C5699B"/>
    <w:rsid w:val="00CA6995"/>
    <w:rsid w:val="00D24393"/>
    <w:rsid w:val="00D90C4B"/>
    <w:rsid w:val="00E44637"/>
    <w:rsid w:val="00E65AE4"/>
    <w:rsid w:val="00E83CF0"/>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D298C"/>
  <w15:docId w15:val="{E3E8A268-3C1B-774C-9F3D-9A4B1A83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C4B"/>
    <w:pPr>
      <w:keepNext/>
      <w:keepLines/>
      <w:spacing w:before="480" w:after="0"/>
      <w:outlineLvl w:val="0"/>
    </w:pPr>
    <w:rPr>
      <w:rFonts w:asciiTheme="majorHAnsi" w:eastAsiaTheme="majorEastAsia" w:hAnsiTheme="majorHAnsi" w:cstheme="majorBidi"/>
      <w:b/>
      <w:bCs/>
      <w:color w:val="0081B3" w:themeColor="accent1" w:themeShade="BF"/>
      <w:sz w:val="28"/>
      <w:szCs w:val="28"/>
    </w:rPr>
  </w:style>
  <w:style w:type="paragraph" w:styleId="Heading2">
    <w:name w:val="heading 2"/>
    <w:basedOn w:val="Normal"/>
    <w:next w:val="Normal"/>
    <w:link w:val="Heading2Char"/>
    <w:uiPriority w:val="9"/>
    <w:unhideWhenUsed/>
    <w:qFormat/>
    <w:rsid w:val="00D90C4B"/>
    <w:pPr>
      <w:keepNext/>
      <w:keepLines/>
      <w:spacing w:before="200" w:after="0"/>
      <w:outlineLvl w:val="1"/>
    </w:pPr>
    <w:rPr>
      <w:rFonts w:asciiTheme="majorHAnsi" w:eastAsiaTheme="majorEastAsia" w:hAnsiTheme="majorHAnsi" w:cstheme="majorBidi"/>
      <w:b/>
      <w:bCs/>
      <w:color w:val="00AEE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53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E153D"/>
    <w:rPr>
      <w:color w:val="00AEEF" w:themeColor="hyperlink"/>
      <w:u w:val="single"/>
    </w:rPr>
  </w:style>
  <w:style w:type="character" w:customStyle="1" w:styleId="Heading2Char">
    <w:name w:val="Heading 2 Char"/>
    <w:basedOn w:val="DefaultParagraphFont"/>
    <w:link w:val="Heading2"/>
    <w:uiPriority w:val="9"/>
    <w:rsid w:val="00D90C4B"/>
    <w:rPr>
      <w:rFonts w:asciiTheme="majorHAnsi" w:eastAsiaTheme="majorEastAsia" w:hAnsiTheme="majorHAnsi" w:cstheme="majorBidi"/>
      <w:b/>
      <w:bCs/>
      <w:color w:val="00AEEF" w:themeColor="accent1"/>
      <w:sz w:val="26"/>
      <w:szCs w:val="26"/>
    </w:rPr>
  </w:style>
  <w:style w:type="character" w:customStyle="1" w:styleId="Heading1Char">
    <w:name w:val="Heading 1 Char"/>
    <w:basedOn w:val="DefaultParagraphFont"/>
    <w:link w:val="Heading1"/>
    <w:uiPriority w:val="9"/>
    <w:rsid w:val="00D90C4B"/>
    <w:rPr>
      <w:rFonts w:asciiTheme="majorHAnsi" w:eastAsiaTheme="majorEastAsia" w:hAnsiTheme="majorHAnsi" w:cstheme="majorBidi"/>
      <w:b/>
      <w:bCs/>
      <w:color w:val="0081B3" w:themeColor="accent1" w:themeShade="BF"/>
      <w:sz w:val="28"/>
      <w:szCs w:val="28"/>
    </w:rPr>
  </w:style>
  <w:style w:type="paragraph" w:styleId="ListParagraph">
    <w:name w:val="List Paragraph"/>
    <w:basedOn w:val="Normal"/>
    <w:uiPriority w:val="34"/>
    <w:qFormat/>
    <w:rsid w:val="0001407A"/>
    <w:pPr>
      <w:ind w:left="720"/>
      <w:contextualSpacing/>
    </w:pPr>
  </w:style>
  <w:style w:type="table" w:styleId="TableGrid">
    <w:name w:val="Table Grid"/>
    <w:basedOn w:val="TableNormal"/>
    <w:uiPriority w:val="59"/>
    <w:rsid w:val="00E6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05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1405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ml">
  <a:themeElements>
    <a:clrScheme name="Medicare">
      <a:dk1>
        <a:sysClr val="windowText" lastClr="000000"/>
      </a:dk1>
      <a:lt1>
        <a:sysClr val="window" lastClr="FFFFFF"/>
      </a:lt1>
      <a:dk2>
        <a:srgbClr val="2A2A86"/>
      </a:dk2>
      <a:lt2>
        <a:srgbClr val="FFFFFF"/>
      </a:lt2>
      <a:accent1>
        <a:srgbClr val="00AEEF"/>
      </a:accent1>
      <a:accent2>
        <a:srgbClr val="46A748"/>
      </a:accent2>
      <a:accent3>
        <a:srgbClr val="40C2F3"/>
      </a:accent3>
      <a:accent4>
        <a:srgbClr val="74BD76"/>
      </a:accent4>
      <a:accent5>
        <a:srgbClr val="7FD6F7"/>
      </a:accent5>
      <a:accent6>
        <a:srgbClr val="A2D3A3"/>
      </a:accent6>
      <a:hlink>
        <a:srgbClr val="00AEEF"/>
      </a:hlink>
      <a:folHlink>
        <a:srgbClr val="46A74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Magali De Castro</dc:creator>
  <cp:lastModifiedBy>Magali De Castro</cp:lastModifiedBy>
  <cp:revision>2</cp:revision>
  <cp:lastPrinted>2013-08-20T06:39:00Z</cp:lastPrinted>
  <dcterms:created xsi:type="dcterms:W3CDTF">2023-06-19T07:46:00Z</dcterms:created>
  <dcterms:modified xsi:type="dcterms:W3CDTF">2023-06-19T07:46:00Z</dcterms:modified>
</cp:coreProperties>
</file>